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40" w:rsidRPr="00B2633C" w:rsidRDefault="00BF4C40" w:rsidP="00BF4C40">
      <w:pPr>
        <w:spacing w:after="0" w:line="240" w:lineRule="auto"/>
        <w:jc w:val="center"/>
        <w:rPr>
          <w:rFonts w:ascii="Verdana" w:hAnsi="Verdana"/>
          <w:b/>
          <w:sz w:val="24"/>
          <w:szCs w:val="24"/>
          <w:u w:val="single"/>
          <w:lang w:eastAsia="es-ES"/>
        </w:rPr>
      </w:pPr>
      <w:r w:rsidRPr="00B2633C">
        <w:rPr>
          <w:rFonts w:ascii="Verdana" w:hAnsi="Verdana"/>
          <w:b/>
          <w:sz w:val="24"/>
          <w:szCs w:val="24"/>
          <w:lang w:eastAsia="es-ES"/>
        </w:rPr>
        <w:t>ANEXO II – A -</w:t>
      </w:r>
    </w:p>
    <w:p w:rsidR="00BF4C40" w:rsidRPr="00430556" w:rsidRDefault="00BF4C40" w:rsidP="00BF4C40">
      <w:pPr>
        <w:jc w:val="center"/>
        <w:rPr>
          <w:rFonts w:ascii="Verdana" w:hAnsi="Verdana"/>
          <w:b/>
          <w:u w:val="single"/>
          <w:lang w:eastAsia="es-ES"/>
        </w:rPr>
      </w:pPr>
      <w:r>
        <w:rPr>
          <w:rFonts w:ascii="Verdana" w:hAnsi="Verdana"/>
          <w:b/>
          <w:u w:val="single"/>
          <w:lang w:eastAsia="es-ES"/>
        </w:rPr>
        <w:t xml:space="preserve">Planilla </w:t>
      </w:r>
      <w:r w:rsidRPr="00430556">
        <w:rPr>
          <w:rFonts w:ascii="Verdana" w:hAnsi="Verdana"/>
          <w:b/>
          <w:u w:val="single"/>
          <w:lang w:eastAsia="es-ES"/>
        </w:rPr>
        <w:t>de Volúmenes</w:t>
      </w:r>
      <w:r>
        <w:rPr>
          <w:rFonts w:ascii="Verdana" w:hAnsi="Verdana"/>
          <w:b/>
          <w:u w:val="single"/>
          <w:lang w:eastAsia="es-ES"/>
        </w:rPr>
        <w:t xml:space="preserve"> y Precio</w:t>
      </w:r>
    </w:p>
    <w:p w:rsidR="00BF4C40" w:rsidRPr="00430556" w:rsidRDefault="00BF4C40" w:rsidP="00BF4C40">
      <w:pPr>
        <w:jc w:val="center"/>
        <w:rPr>
          <w:rFonts w:ascii="Verdana" w:hAnsi="Verdana"/>
          <w:b/>
          <w:u w:val="single"/>
          <w:lang w:eastAsia="es-ES"/>
        </w:rPr>
      </w:pPr>
      <w:r w:rsidRPr="00430556">
        <w:rPr>
          <w:rFonts w:ascii="Verdana" w:hAnsi="Verdana"/>
          <w:b/>
          <w:lang w:eastAsia="es-ES"/>
        </w:rPr>
        <w:t>Cantidad Máxima Diaria (CMD)</w:t>
      </w:r>
      <w:r>
        <w:rPr>
          <w:rFonts w:ascii="Verdana" w:hAnsi="Verdana"/>
          <w:b/>
          <w:lang w:eastAsia="es-ES"/>
        </w:rPr>
        <w:t xml:space="preserve"> y % Precio de Referencia</w:t>
      </w:r>
    </w:p>
    <w:p w:rsidR="00BF4C40" w:rsidRPr="0079773E" w:rsidRDefault="00BF4C40" w:rsidP="00BF4C40">
      <w:pPr>
        <w:rPr>
          <w:rFonts w:ascii="Verdana" w:hAnsi="Verdana"/>
          <w:b/>
          <w:u w:val="single"/>
          <w:lang w:eastAsia="es-ES"/>
        </w:rPr>
      </w:pPr>
      <w:r w:rsidRPr="00256325">
        <w:rPr>
          <w:noProof/>
          <w:lang w:eastAsia="es-AR"/>
        </w:rPr>
        <w:drawing>
          <wp:inline distT="0" distB="0" distL="0" distR="0" wp14:anchorId="1934465F" wp14:editId="057C7B5D">
            <wp:extent cx="5400040" cy="2509397"/>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509397"/>
                    </a:xfrm>
                    <a:prstGeom prst="rect">
                      <a:avLst/>
                    </a:prstGeom>
                    <a:noFill/>
                    <a:ln>
                      <a:noFill/>
                    </a:ln>
                  </pic:spPr>
                </pic:pic>
              </a:graphicData>
            </a:graphic>
          </wp:inline>
        </w:drawing>
      </w:r>
    </w:p>
    <w:p w:rsidR="00BF4C40" w:rsidRPr="00503FE7" w:rsidRDefault="00BF4C40" w:rsidP="00BF4C40">
      <w:pPr>
        <w:spacing w:after="0" w:line="240" w:lineRule="auto"/>
        <w:jc w:val="both"/>
        <w:rPr>
          <w:rFonts w:ascii="Verdana" w:hAnsi="Verdana" w:cs="Arial"/>
          <w:lang w:eastAsia="es-ES"/>
        </w:rPr>
      </w:pPr>
      <w:r w:rsidRPr="00991674">
        <w:rPr>
          <w:rFonts w:ascii="Verdana" w:hAnsi="Verdana" w:cs="Arial"/>
          <w:lang w:eastAsia="es-ES"/>
        </w:rPr>
        <w:t>Los volúmenes ofertados en</w:t>
      </w:r>
      <w:r w:rsidRPr="00503FE7">
        <w:rPr>
          <w:rFonts w:ascii="Verdana" w:hAnsi="Verdana" w:cs="Arial"/>
          <w:lang w:eastAsia="es-ES"/>
        </w:rPr>
        <w:t xml:space="preserve"> la cuenca Neuquina podrán ser asignados por sistema TGN y/o TGS a solicitud de ENARSA, una vez acordados los requerimientos de las Distribuidoras.</w:t>
      </w:r>
    </w:p>
    <w:p w:rsidR="00BF4C40" w:rsidRPr="00430556" w:rsidRDefault="00BF4C40" w:rsidP="00BF4C40">
      <w:pPr>
        <w:spacing w:after="0" w:line="240" w:lineRule="auto"/>
        <w:jc w:val="both"/>
        <w:rPr>
          <w:rFonts w:ascii="Verdana" w:hAnsi="Verdana" w:cs="Arial"/>
          <w:lang w:eastAsia="es-ES"/>
        </w:rPr>
      </w:pPr>
    </w:p>
    <w:p w:rsidR="00BF4C40" w:rsidRPr="00430556" w:rsidRDefault="00BF4C40" w:rsidP="00BF4C40">
      <w:pPr>
        <w:spacing w:after="0" w:line="240" w:lineRule="auto"/>
        <w:jc w:val="both"/>
        <w:rPr>
          <w:rFonts w:ascii="Verdana" w:hAnsi="Verdana" w:cs="Arial"/>
          <w:lang w:eastAsia="es-ES"/>
        </w:rPr>
      </w:pPr>
      <w:r w:rsidRPr="00430556">
        <w:rPr>
          <w:rFonts w:ascii="Verdana" w:hAnsi="Verdana" w:cs="Arial"/>
          <w:lang w:eastAsia="es-ES"/>
        </w:rPr>
        <w:t>Los volúmenes ofertados en la cuenca de Tierra del Fuego podrán ser asignados para consumo dentro o fuera de la Isla de Tierra del Fuego, a solicitud de ENARSA, una vez acordados los requerimientos de las Distribuidoras.</w:t>
      </w:r>
    </w:p>
    <w:p w:rsidR="00BF4C40" w:rsidRPr="00430556" w:rsidRDefault="00BF4C40" w:rsidP="00BF4C40">
      <w:pPr>
        <w:spacing w:after="0" w:line="240" w:lineRule="auto"/>
        <w:jc w:val="both"/>
        <w:rPr>
          <w:rFonts w:ascii="Verdana" w:hAnsi="Verdana" w:cs="Arial"/>
          <w:lang w:eastAsia="es-ES"/>
        </w:rPr>
      </w:pPr>
    </w:p>
    <w:p w:rsidR="00BF4C40" w:rsidRPr="00430556" w:rsidRDefault="00BF4C40" w:rsidP="00BF4C40">
      <w:pPr>
        <w:spacing w:after="0" w:line="240" w:lineRule="auto"/>
        <w:jc w:val="both"/>
        <w:rPr>
          <w:rFonts w:ascii="Verdana" w:hAnsi="Verdana" w:cs="Arial"/>
          <w:lang w:eastAsia="es-ES"/>
        </w:rPr>
      </w:pPr>
      <w:r w:rsidRPr="00430556">
        <w:rPr>
          <w:rFonts w:ascii="Verdana" w:hAnsi="Verdana" w:cs="Arial"/>
          <w:lang w:eastAsia="es-ES"/>
        </w:rPr>
        <w:t>Los volúmenes consumidos dentro de la Isla de Tierra del Fuego serán facturados sin IVA.</w:t>
      </w:r>
    </w:p>
    <w:p w:rsidR="00BF4C40" w:rsidRPr="00430556" w:rsidRDefault="00BF4C40" w:rsidP="00BF4C40">
      <w:pPr>
        <w:spacing w:after="0" w:line="240" w:lineRule="auto"/>
        <w:jc w:val="both"/>
        <w:rPr>
          <w:rFonts w:ascii="Verdana" w:hAnsi="Verdana" w:cs="Arial"/>
          <w:lang w:eastAsia="es-ES"/>
        </w:rPr>
      </w:pPr>
    </w:p>
    <w:p w:rsidR="00BF4C40" w:rsidRPr="00430556" w:rsidRDefault="00BF4C40" w:rsidP="00BF4C40">
      <w:pPr>
        <w:spacing w:after="0" w:line="240" w:lineRule="auto"/>
        <w:jc w:val="both"/>
        <w:rPr>
          <w:rFonts w:ascii="Verdana" w:hAnsi="Verdana" w:cs="Arial"/>
          <w:lang w:eastAsia="es-ES"/>
        </w:rPr>
      </w:pPr>
      <w:r w:rsidRPr="00430556">
        <w:rPr>
          <w:rFonts w:ascii="Verdana" w:hAnsi="Verdana" w:cs="Arial"/>
          <w:lang w:eastAsia="es-ES"/>
        </w:rPr>
        <w:t xml:space="preserve">Los volúmenes ofertados en la cuenca de Tierra del Fuego, para consumo dentro del Territorio Nacional Continental deberán incluir todas las gestiones y costos relativos a la documentación conforme la normativa aduanera aplicable, cumpliendo el </w:t>
      </w:r>
      <w:proofErr w:type="spellStart"/>
      <w:r w:rsidRPr="00430556">
        <w:rPr>
          <w:rFonts w:ascii="Verdana" w:hAnsi="Verdana" w:cs="Arial"/>
          <w:lang w:eastAsia="es-ES"/>
        </w:rPr>
        <w:t>súbregimen</w:t>
      </w:r>
      <w:proofErr w:type="spellEnd"/>
      <w:r w:rsidRPr="00430556">
        <w:rPr>
          <w:rFonts w:ascii="Verdana" w:hAnsi="Verdana" w:cs="Arial"/>
          <w:lang w:eastAsia="es-ES"/>
        </w:rPr>
        <w:t xml:space="preserve"> correspondiente la doble función de exportación en el Área Aduanera Especial e importación en el Territorio Nacional Continental. Se entenderá por gestión de operación la presentación de los siguientes documentos, junto con el control y seguimiento de los volúmenes a entregarse:</w:t>
      </w:r>
    </w:p>
    <w:p w:rsidR="00BF4C40" w:rsidRPr="00430556" w:rsidRDefault="00BF4C40" w:rsidP="00BF4C40">
      <w:pPr>
        <w:spacing w:after="0" w:line="240" w:lineRule="auto"/>
        <w:jc w:val="both"/>
        <w:rPr>
          <w:rFonts w:ascii="Verdana" w:hAnsi="Verdana" w:cs="Arial"/>
          <w:lang w:eastAsia="es-ES"/>
        </w:rPr>
      </w:pPr>
      <w:r w:rsidRPr="00430556">
        <w:rPr>
          <w:rFonts w:ascii="Verdana" w:hAnsi="Verdana" w:cs="Arial"/>
          <w:lang w:eastAsia="es-ES"/>
        </w:rPr>
        <w:t>- Gestión de Certificado Origen.</w:t>
      </w:r>
    </w:p>
    <w:p w:rsidR="00BF4C40" w:rsidRPr="00430556" w:rsidRDefault="00BF4C40" w:rsidP="00BF4C40">
      <w:pPr>
        <w:spacing w:after="0" w:line="240" w:lineRule="auto"/>
        <w:jc w:val="both"/>
        <w:rPr>
          <w:rFonts w:ascii="Verdana" w:hAnsi="Verdana" w:cs="Arial"/>
          <w:lang w:eastAsia="es-ES"/>
        </w:rPr>
      </w:pPr>
      <w:r w:rsidRPr="00430556">
        <w:rPr>
          <w:rFonts w:ascii="Verdana" w:hAnsi="Verdana" w:cs="Arial"/>
          <w:lang w:eastAsia="es-ES"/>
        </w:rPr>
        <w:t>- Presentación de Solicitud Particular.</w:t>
      </w:r>
    </w:p>
    <w:p w:rsidR="00BF4C40" w:rsidRPr="00430556" w:rsidRDefault="00BF4C40" w:rsidP="00BF4C40">
      <w:pPr>
        <w:spacing w:after="0" w:line="240" w:lineRule="auto"/>
        <w:jc w:val="both"/>
        <w:rPr>
          <w:rFonts w:ascii="Verdana" w:hAnsi="Verdana" w:cs="Arial"/>
          <w:lang w:eastAsia="es-ES"/>
        </w:rPr>
      </w:pPr>
      <w:r w:rsidRPr="00430556">
        <w:rPr>
          <w:rFonts w:ascii="Verdana" w:hAnsi="Verdana" w:cs="Arial"/>
          <w:lang w:eastAsia="es-ES"/>
        </w:rPr>
        <w:t>- Documentación de ECA2 con volúmenes efectivamente entregados.</w:t>
      </w:r>
    </w:p>
    <w:p w:rsidR="00BF4C40" w:rsidRPr="00430556" w:rsidRDefault="00BF4C40" w:rsidP="00BF4C40">
      <w:pPr>
        <w:spacing w:after="0" w:line="240" w:lineRule="auto"/>
        <w:jc w:val="both"/>
        <w:rPr>
          <w:rFonts w:ascii="Verdana" w:hAnsi="Verdana" w:cs="Arial"/>
          <w:lang w:eastAsia="es-ES"/>
        </w:rPr>
      </w:pPr>
      <w:r w:rsidRPr="00430556">
        <w:rPr>
          <w:rFonts w:ascii="Verdana" w:hAnsi="Verdana" w:cs="Arial"/>
          <w:lang w:eastAsia="es-ES"/>
        </w:rPr>
        <w:t>- Cancelación de tasa 1% sobre las cantidades realmente embarcadas.</w:t>
      </w:r>
    </w:p>
    <w:p w:rsidR="00BF4C40" w:rsidRDefault="00BF4C40" w:rsidP="00BF4C40">
      <w:pPr>
        <w:spacing w:after="0" w:line="240" w:lineRule="auto"/>
        <w:jc w:val="both"/>
        <w:rPr>
          <w:rFonts w:ascii="Verdana" w:hAnsi="Verdana" w:cs="Arial"/>
          <w:lang w:eastAsia="es-ES"/>
        </w:rPr>
      </w:pPr>
      <w:r w:rsidRPr="00430556">
        <w:rPr>
          <w:rFonts w:ascii="Verdana" w:hAnsi="Verdana" w:cs="Arial"/>
          <w:lang w:eastAsia="es-ES"/>
        </w:rPr>
        <w:t>- Presentación de Certificado de Origen definitivo presentando cantidades y monto final del producto realmente embarcado.</w:t>
      </w: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Pr="00255A34" w:rsidRDefault="00BF4C40" w:rsidP="00BF4C40">
      <w:pPr>
        <w:spacing w:after="0" w:line="240" w:lineRule="auto"/>
        <w:jc w:val="both"/>
        <w:rPr>
          <w:rFonts w:ascii="Verdana" w:hAnsi="Verdana" w:cs="Arial"/>
          <w:b/>
          <w:lang w:eastAsia="es-ES"/>
        </w:rPr>
      </w:pPr>
      <w:r w:rsidRPr="00255A34">
        <w:rPr>
          <w:rFonts w:ascii="Verdana" w:hAnsi="Verdana" w:cs="Arial"/>
          <w:b/>
          <w:lang w:eastAsia="es-ES"/>
        </w:rPr>
        <w:t xml:space="preserve">6. Punto de Entrega. </w:t>
      </w:r>
    </w:p>
    <w:p w:rsidR="00BF4C40" w:rsidRPr="00255A34" w:rsidRDefault="00BF4C40" w:rsidP="00BF4C40">
      <w:pPr>
        <w:spacing w:after="0" w:line="240" w:lineRule="auto"/>
        <w:jc w:val="both"/>
        <w:rPr>
          <w:rFonts w:ascii="Verdana" w:hAnsi="Verdana" w:cs="Arial"/>
          <w:b/>
          <w:lang w:eastAsia="es-ES"/>
        </w:rPr>
      </w:pPr>
    </w:p>
    <w:p w:rsidR="00BF4C40" w:rsidRPr="00255A34" w:rsidRDefault="00BF4C40" w:rsidP="00BF4C40">
      <w:pPr>
        <w:spacing w:after="0" w:line="240" w:lineRule="auto"/>
        <w:jc w:val="both"/>
        <w:rPr>
          <w:rFonts w:ascii="Verdana" w:hAnsi="Verdana" w:cs="Arial"/>
          <w:lang w:eastAsia="es-ES"/>
        </w:rPr>
      </w:pPr>
      <w:r w:rsidRPr="00255A34">
        <w:rPr>
          <w:rFonts w:ascii="Verdana" w:hAnsi="Verdana" w:cs="Arial"/>
          <w:b/>
          <w:lang w:eastAsia="es-ES"/>
        </w:rPr>
        <w:lastRenderedPageBreak/>
        <w:t>6.1</w:t>
      </w:r>
      <w:r w:rsidRPr="00255A34">
        <w:rPr>
          <w:rFonts w:ascii="Verdana" w:hAnsi="Verdana" w:cs="Arial"/>
          <w:b/>
          <w:lang w:eastAsia="es-ES"/>
        </w:rPr>
        <w:tab/>
      </w:r>
      <w:r w:rsidRPr="00255A34">
        <w:rPr>
          <w:rFonts w:ascii="Verdana" w:hAnsi="Verdana" w:cs="Arial"/>
          <w:lang w:eastAsia="es-ES"/>
        </w:rPr>
        <w:t xml:space="preserve">El Gas Natural será puesto a disposición del Comprador, por parte del Vendedor, en los Puntos de Entrega que </w:t>
      </w:r>
      <w:r>
        <w:rPr>
          <w:rFonts w:ascii="Verdana" w:hAnsi="Verdana" w:cs="Arial"/>
          <w:lang w:eastAsia="es-ES"/>
        </w:rPr>
        <w:t xml:space="preserve">se indican a continuación: </w:t>
      </w:r>
    </w:p>
    <w:p w:rsidR="00BF4C40" w:rsidRDefault="00BF4C40" w:rsidP="00BF4C40">
      <w:pPr>
        <w:spacing w:after="0" w:line="240" w:lineRule="auto"/>
        <w:jc w:val="both"/>
        <w:rPr>
          <w:rFonts w:ascii="Verdana" w:hAnsi="Verdana" w:cs="Arial"/>
          <w:b/>
          <w:lang w:eastAsia="es-ES"/>
        </w:rPr>
      </w:pPr>
    </w:p>
    <w:p w:rsidR="00BF4C40" w:rsidRPr="00B2633C" w:rsidRDefault="00BF4C40" w:rsidP="00BF4C40">
      <w:pPr>
        <w:spacing w:after="0" w:line="240" w:lineRule="auto"/>
        <w:jc w:val="both"/>
        <w:rPr>
          <w:rFonts w:ascii="Verdana" w:hAnsi="Verdana" w:cs="Arial"/>
          <w:b/>
          <w:lang w:eastAsia="es-ES"/>
        </w:rPr>
      </w:pPr>
      <w:r w:rsidRPr="00B2633C">
        <w:rPr>
          <w:rFonts w:ascii="Verdana" w:hAnsi="Verdana" w:cs="Arial"/>
          <w:b/>
          <w:lang w:eastAsia="es-ES"/>
        </w:rPr>
        <w:t>Artículo 1</w:t>
      </w:r>
      <w:r w:rsidR="00244D84">
        <w:rPr>
          <w:rFonts w:ascii="Verdana" w:hAnsi="Verdana" w:cs="Arial"/>
          <w:b/>
          <w:lang w:eastAsia="es-ES"/>
        </w:rPr>
        <w:t>7</w:t>
      </w:r>
      <w:r w:rsidRPr="00B2633C">
        <w:rPr>
          <w:rFonts w:ascii="Verdana" w:hAnsi="Verdana" w:cs="Arial"/>
          <w:b/>
          <w:lang w:eastAsia="es-ES"/>
        </w:rPr>
        <w:t xml:space="preserve">. Notificaciones. </w:t>
      </w:r>
    </w:p>
    <w:p w:rsidR="00BF4C40" w:rsidRPr="005A0969"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r w:rsidRPr="005A0969">
        <w:rPr>
          <w:rFonts w:ascii="Verdana" w:hAnsi="Verdana" w:cs="Arial"/>
          <w:lang w:eastAsia="es-ES"/>
        </w:rPr>
        <w:t>A todos los efectos legales derivados de la presente, las Partes establecen sus respectivos domicilios en los siguientes lugares, donde se tendrán por válidas todas las notificaciones que las Partes se cursaren:</w:t>
      </w:r>
    </w:p>
    <w:p w:rsidR="00BF4C40" w:rsidRDefault="00BF4C40" w:rsidP="00BF4C40">
      <w:pPr>
        <w:spacing w:after="0" w:line="240" w:lineRule="auto"/>
        <w:jc w:val="both"/>
        <w:rPr>
          <w:rFonts w:ascii="Verdana" w:hAnsi="Verdana" w:cs="Arial"/>
          <w:lang w:eastAsia="es-ES"/>
        </w:rPr>
      </w:pPr>
      <w:r>
        <w:rPr>
          <w:rFonts w:ascii="Verdana" w:hAnsi="Verdana" w:cs="Arial"/>
          <w:lang w:eastAsia="es-ES"/>
        </w:rPr>
        <w:t>Vendedor:</w:t>
      </w: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r w:rsidRPr="005A0969">
        <w:rPr>
          <w:rFonts w:ascii="Verdana" w:hAnsi="Verdana" w:cs="Arial"/>
          <w:lang w:eastAsia="es-ES"/>
        </w:rPr>
        <w:t>A efectos comerciales y operativos las Partes establecen los siguientes contactos:</w:t>
      </w:r>
    </w:p>
    <w:p w:rsidR="00BF4C40" w:rsidRDefault="00BF4C40" w:rsidP="00BF4C40">
      <w:pPr>
        <w:spacing w:after="0" w:line="240" w:lineRule="auto"/>
        <w:jc w:val="both"/>
        <w:rPr>
          <w:rFonts w:ascii="Verdana" w:hAnsi="Verdana" w:cs="Arial"/>
          <w:lang w:eastAsia="es-ES"/>
        </w:rPr>
      </w:pPr>
    </w:p>
    <w:p w:rsidR="00BF4C40" w:rsidRPr="005A0969" w:rsidRDefault="00BF4C40" w:rsidP="00BF4C40">
      <w:pPr>
        <w:spacing w:after="0" w:line="240" w:lineRule="auto"/>
        <w:jc w:val="both"/>
        <w:rPr>
          <w:rFonts w:ascii="Verdana" w:hAnsi="Verdana" w:cs="Arial"/>
          <w:b/>
          <w:lang w:eastAsia="es-ES"/>
        </w:rPr>
      </w:pPr>
      <w:r w:rsidRPr="005A0969">
        <w:rPr>
          <w:rFonts w:ascii="Verdana" w:hAnsi="Verdana" w:cs="Arial"/>
          <w:b/>
          <w:lang w:eastAsia="es-ES"/>
        </w:rPr>
        <w:t>Artículo 1</w:t>
      </w:r>
      <w:r w:rsidR="00244D84">
        <w:rPr>
          <w:rFonts w:ascii="Verdana" w:hAnsi="Verdana" w:cs="Arial"/>
          <w:b/>
          <w:lang w:eastAsia="es-ES"/>
        </w:rPr>
        <w:t>8</w:t>
      </w:r>
      <w:bookmarkStart w:id="0" w:name="_GoBack"/>
      <w:bookmarkEnd w:id="0"/>
      <w:r w:rsidRPr="005A0969">
        <w:rPr>
          <w:rFonts w:ascii="Verdana" w:hAnsi="Verdana" w:cs="Arial"/>
          <w:b/>
          <w:lang w:eastAsia="es-ES"/>
        </w:rPr>
        <w:t xml:space="preserve">. Cuenta bancaria receptora de pagos. </w:t>
      </w:r>
    </w:p>
    <w:p w:rsidR="00BF4C40" w:rsidRPr="005A0969"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r w:rsidRPr="005A0969">
        <w:rPr>
          <w:rFonts w:ascii="Verdana" w:hAnsi="Verdana" w:cs="Arial"/>
          <w:lang w:eastAsia="es-ES"/>
        </w:rPr>
        <w:t>A los efectos del Artículo 10.3, los pagos deberán acreditarse en:</w:t>
      </w: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BF4C40" w:rsidRDefault="00BF4C40" w:rsidP="00BF4C40">
      <w:pPr>
        <w:spacing w:after="0" w:line="240" w:lineRule="auto"/>
        <w:jc w:val="both"/>
        <w:rPr>
          <w:rFonts w:ascii="Verdana" w:hAnsi="Verdana" w:cs="Arial"/>
          <w:lang w:eastAsia="es-ES"/>
        </w:rPr>
      </w:pPr>
    </w:p>
    <w:p w:rsidR="004C52BC" w:rsidRDefault="004C52BC"/>
    <w:sectPr w:rsidR="004C52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40"/>
    <w:rsid w:val="00244D84"/>
    <w:rsid w:val="004C52BC"/>
    <w:rsid w:val="00BF4C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4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D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4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D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Muzio, Alejandra</dc:creator>
  <cp:keywords/>
  <dc:description/>
  <cp:lastModifiedBy>Lopez Robbio, Guillermo Mario</cp:lastModifiedBy>
  <cp:revision>2</cp:revision>
  <dcterms:created xsi:type="dcterms:W3CDTF">2018-01-05T14:19:00Z</dcterms:created>
  <dcterms:modified xsi:type="dcterms:W3CDTF">2018-01-09T16:29:00Z</dcterms:modified>
</cp:coreProperties>
</file>